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32"/>
          <w:szCs w:val="32"/>
          <w:lang w:val="en-US" w:eastAsia="zh-CN"/>
        </w:rPr>
        <w:t>标准物质资源填报功能操作说明</w:t>
      </w:r>
    </w:p>
    <w:p>
      <w:pPr>
        <w:numPr>
          <w:ilvl w:val="0"/>
          <w:numId w:val="1"/>
        </w:numPr>
        <w:ind w:left="0" w:leftChars="0" w:firstLine="42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入口</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标准物质资源填报的进入位置在如下图所示，点击进入即为进入入口</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3504565" cy="8572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04565" cy="857250"/>
                    </a:xfrm>
                    <a:prstGeom prst="rect">
                      <a:avLst/>
                    </a:prstGeom>
                    <a:noFill/>
                    <a:ln w="9525">
                      <a:noFill/>
                    </a:ln>
                  </pic:spPr>
                </pic:pic>
              </a:graphicData>
            </a:graphic>
          </wp:inline>
        </w:drawing>
      </w:r>
    </w:p>
    <w:p>
      <w:pPr>
        <w:numPr>
          <w:ilvl w:val="0"/>
          <w:numId w:val="1"/>
        </w:numPr>
        <w:ind w:left="0" w:leftChars="0" w:firstLine="42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登录</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使用原有帐号进行登录，原有登录进行不发生变化，如下图</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5271770" cy="3001010"/>
            <wp:effectExtent l="0" t="0" r="5080" b="8890"/>
            <wp:docPr id="3" name="图片 3" descr="1531879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1879144(1)"/>
                    <pic:cNvPicPr>
                      <a:picLocks noChangeAspect="1"/>
                    </pic:cNvPicPr>
                  </pic:nvPicPr>
                  <pic:blipFill>
                    <a:blip r:embed="rId5"/>
                    <a:stretch>
                      <a:fillRect/>
                    </a:stretch>
                  </pic:blipFill>
                  <pic:spPr>
                    <a:xfrm>
                      <a:off x="0" y="0"/>
                      <a:ext cx="5271770" cy="3001010"/>
                    </a:xfrm>
                    <a:prstGeom prst="rect">
                      <a:avLst/>
                    </a:prstGeom>
                  </pic:spPr>
                </pic:pic>
              </a:graphicData>
            </a:graphic>
          </wp:inline>
        </w:drawing>
      </w:r>
    </w:p>
    <w:p>
      <w:pPr>
        <w:numPr>
          <w:ilvl w:val="0"/>
          <w:numId w:val="1"/>
        </w:numPr>
        <w:ind w:left="0" w:leftChars="0" w:firstLine="42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登录成功</w:t>
      </w:r>
      <w:r>
        <w:rPr>
          <w:rFonts w:hint="eastAsia" w:ascii="微软雅黑" w:hAnsi="微软雅黑" w:eastAsia="微软雅黑" w:cs="微软雅黑"/>
          <w:sz w:val="21"/>
          <w:szCs w:val="21"/>
          <w:lang w:val="en-US" w:eastAsia="zh-CN"/>
        </w:rPr>
        <w:t>后阅读《</w:t>
      </w:r>
      <w:r>
        <w:rPr>
          <w:rFonts w:hint="eastAsia" w:ascii="微软雅黑" w:hAnsi="微软雅黑" w:eastAsia="微软雅黑" w:cs="微软雅黑"/>
          <w:b w:val="0"/>
          <w:i w:val="0"/>
          <w:caps w:val="0"/>
          <w:color w:val="000000"/>
          <w:spacing w:val="0"/>
          <w:sz w:val="21"/>
          <w:szCs w:val="21"/>
          <w:shd w:val="clear" w:fill="FFFFFF"/>
        </w:rPr>
        <w:t>国家标准物质状况</w:t>
      </w:r>
      <w:r>
        <w:rPr>
          <w:rFonts w:hint="eastAsia" w:ascii="微软雅黑" w:hAnsi="微软雅黑" w:eastAsia="微软雅黑" w:cs="微软雅黑"/>
          <w:b w:val="0"/>
          <w:i w:val="0"/>
          <w:caps w:val="0"/>
          <w:color w:val="000000"/>
          <w:spacing w:val="0"/>
          <w:sz w:val="21"/>
          <w:szCs w:val="21"/>
          <w:shd w:val="clear" w:fill="FFFFFF"/>
          <w:lang w:eastAsia="zh-CN"/>
        </w:rPr>
        <w:t>》信息</w:t>
      </w:r>
      <w:r>
        <w:rPr>
          <w:rFonts w:hint="eastAsia" w:ascii="微软雅黑" w:hAnsi="微软雅黑" w:eastAsia="微软雅黑" w:cs="微软雅黑"/>
          <w:b w:val="0"/>
          <w:i w:val="0"/>
          <w:caps w:val="0"/>
          <w:color w:val="000000"/>
          <w:spacing w:val="0"/>
          <w:sz w:val="21"/>
          <w:szCs w:val="21"/>
          <w:shd w:val="clear" w:fill="FFFFFF"/>
          <w:lang w:eastAsia="zh-CN"/>
        </w:rPr>
        <w:t>，如图所示</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5270500" cy="3021965"/>
            <wp:effectExtent l="0" t="0" r="6350" b="6985"/>
            <wp:docPr id="5" name="图片 5" descr="1531879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31879456(1)"/>
                    <pic:cNvPicPr>
                      <a:picLocks noChangeAspect="1"/>
                    </pic:cNvPicPr>
                  </pic:nvPicPr>
                  <pic:blipFill>
                    <a:blip r:embed="rId6"/>
                    <a:stretch>
                      <a:fillRect/>
                    </a:stretch>
                  </pic:blipFill>
                  <pic:spPr>
                    <a:xfrm>
                      <a:off x="0" y="0"/>
                      <a:ext cx="5270500" cy="3021965"/>
                    </a:xfrm>
                    <a:prstGeom prst="rect">
                      <a:avLst/>
                    </a:prstGeom>
                  </pic:spPr>
                </pic:pic>
              </a:graphicData>
            </a:graphic>
          </wp:inline>
        </w:drawing>
      </w:r>
    </w:p>
    <w:p>
      <w:pPr>
        <w:numPr>
          <w:ilvl w:val="0"/>
          <w:numId w:val="1"/>
        </w:numPr>
        <w:ind w:left="0" w:leftChars="0" w:firstLine="42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单位信息确认，对本单位的信息进行进一步的确认和补充，确认后进入下一步</w:t>
      </w:r>
    </w:p>
    <w:p>
      <w:pPr>
        <w:numPr>
          <w:ilvl w:val="0"/>
          <w:numId w:val="0"/>
        </w:numPr>
        <w:ind w:left="42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5269230" cy="3046095"/>
            <wp:effectExtent l="0" t="0" r="7620" b="1905"/>
            <wp:docPr id="6" name="图片 6" descr="1531879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31879588(1)"/>
                    <pic:cNvPicPr>
                      <a:picLocks noChangeAspect="1"/>
                    </pic:cNvPicPr>
                  </pic:nvPicPr>
                  <pic:blipFill>
                    <a:blip r:embed="rId7"/>
                    <a:stretch>
                      <a:fillRect/>
                    </a:stretch>
                  </pic:blipFill>
                  <pic:spPr>
                    <a:xfrm>
                      <a:off x="0" y="0"/>
                      <a:ext cx="5269230" cy="3046095"/>
                    </a:xfrm>
                    <a:prstGeom prst="rect">
                      <a:avLst/>
                    </a:prstGeom>
                  </pic:spPr>
                </pic:pic>
              </a:graphicData>
            </a:graphic>
          </wp:inline>
        </w:drawing>
      </w:r>
    </w:p>
    <w:p>
      <w:pPr>
        <w:numPr>
          <w:ilvl w:val="0"/>
          <w:numId w:val="1"/>
        </w:numPr>
        <w:ind w:left="0" w:leftChars="0" w:firstLine="42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信息确认完成后，成功进入列表展示页面，展示内容为xx公司的标物信息，包含：待确定，持续供应，注销；</w:t>
      </w:r>
      <w:r>
        <w:rPr>
          <w:rFonts w:ascii="微软雅黑" w:hAnsi="微软雅黑" w:eastAsia="微软雅黑" w:cs="微软雅黑"/>
          <w:b w:val="0"/>
          <w:i w:val="0"/>
          <w:caps w:val="0"/>
          <w:color w:val="FF0000"/>
          <w:spacing w:val="0"/>
          <w:sz w:val="20"/>
          <w:szCs w:val="20"/>
          <w:shd w:val="clear" w:fill="FFFFFF"/>
        </w:rPr>
        <w:t>所有标物确认完状态才能提交,提交后不能修改;保存可修改.</w:t>
      </w:r>
    </w:p>
    <w:p>
      <w:pPr>
        <w:numPr>
          <w:ilvl w:val="1"/>
          <w:numId w:val="2"/>
        </w:numPr>
        <w:ind w:left="0" w:leftChars="0" w:firstLine="40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待确定：所有标物默认状态是在待确定中；</w:t>
      </w:r>
    </w:p>
    <w:p>
      <w:pPr>
        <w:numPr>
          <w:ilvl w:val="1"/>
          <w:numId w:val="2"/>
        </w:numPr>
        <w:ind w:left="0" w:leftChars="0" w:firstLine="40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持续供应：标物选择持续供应功能后状态变更为持续供应；</w:t>
      </w:r>
    </w:p>
    <w:p>
      <w:pPr>
        <w:numPr>
          <w:ilvl w:val="1"/>
          <w:numId w:val="2"/>
        </w:numPr>
        <w:ind w:left="0" w:leftChars="0" w:firstLine="40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注销：标物选择申请注销功能后状态变更为注销；</w:t>
      </w:r>
    </w:p>
    <w:p>
      <w:pPr>
        <w:numPr>
          <w:ilvl w:val="1"/>
          <w:numId w:val="2"/>
        </w:numPr>
        <w:ind w:left="0" w:leftChars="0" w:firstLine="40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3个状态，列表支持分页展示，每页显示30条数据，支持批量持续供应功能和批量申请注销功能；</w:t>
      </w:r>
    </w:p>
    <w:p>
      <w:pPr>
        <w:numPr>
          <w:ilvl w:val="1"/>
          <w:numId w:val="2"/>
        </w:numPr>
        <w:ind w:left="0" w:leftChars="0" w:firstLine="40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列表中的持续供应和申请注销2个功能支持单个标物进行处理；</w:t>
      </w:r>
    </w:p>
    <w:p>
      <w:pPr>
        <w:numPr>
          <w:ilvl w:val="1"/>
          <w:numId w:val="2"/>
        </w:numPr>
        <w:ind w:left="0" w:leftChars="0" w:firstLine="400" w:firstLineChars="0"/>
        <w:rPr>
          <w:rFonts w:hint="eastAsia" w:ascii="微软雅黑" w:hAnsi="微软雅黑" w:eastAsia="微软雅黑" w:cs="微软雅黑"/>
          <w:color w:val="C00000"/>
          <w:sz w:val="21"/>
          <w:szCs w:val="21"/>
          <w:lang w:val="en-US" w:eastAsia="zh-CN"/>
        </w:rPr>
      </w:pPr>
      <w:r>
        <w:rPr>
          <w:rFonts w:hint="eastAsia" w:ascii="微软雅黑" w:hAnsi="微软雅黑" w:eastAsia="微软雅黑" w:cs="微软雅黑"/>
          <w:color w:val="C00000"/>
          <w:sz w:val="21"/>
          <w:szCs w:val="21"/>
          <w:lang w:val="en-US" w:eastAsia="zh-CN"/>
        </w:rPr>
        <w:t>列表中的每个标物必须进行状态的确认操作，否则功能不能向下进行；*</w:t>
      </w:r>
    </w:p>
    <w:p>
      <w:pPr>
        <w:numPr>
          <w:ilvl w:val="1"/>
          <w:numId w:val="2"/>
        </w:numPr>
        <w:ind w:left="0" w:leftChars="0" w:firstLine="400" w:firstLineChars="0"/>
        <w:rPr>
          <w:rFonts w:hint="eastAsia" w:ascii="微软雅黑" w:hAnsi="微软雅黑" w:eastAsia="微软雅黑" w:cs="微软雅黑"/>
          <w:color w:val="C00000"/>
          <w:sz w:val="21"/>
          <w:szCs w:val="21"/>
          <w:lang w:val="en-US" w:eastAsia="zh-CN"/>
        </w:rPr>
      </w:pPr>
      <w:r>
        <w:rPr>
          <w:rFonts w:hint="eastAsia" w:ascii="微软雅黑" w:hAnsi="微软雅黑" w:eastAsia="微软雅黑" w:cs="微软雅黑"/>
          <w:color w:val="C00000"/>
          <w:sz w:val="21"/>
          <w:szCs w:val="21"/>
          <w:lang w:val="en-US" w:eastAsia="zh-CN"/>
        </w:rPr>
        <w:t>已获得批准标物数量中的一级种类和二级种类的数量之和为，共计标物的总数量，表头还会显示已经选择持续供应的标物数量和注销的标物数量。</w:t>
      </w:r>
    </w:p>
    <w:p>
      <w:pPr>
        <w:numPr>
          <w:ilvl w:val="1"/>
          <w:numId w:val="2"/>
        </w:numPr>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选择持续供应或批量持续供应功能后，需要对标物的信息进行选择性判断，包含：</w:t>
      </w:r>
      <w:r>
        <w:rPr>
          <w:rFonts w:ascii="微软雅黑" w:hAnsi="微软雅黑" w:eastAsia="微软雅黑" w:cs="微软雅黑"/>
          <w:b w:val="0"/>
          <w:i w:val="0"/>
          <w:caps w:val="0"/>
          <w:color w:val="auto"/>
          <w:spacing w:val="0"/>
          <w:sz w:val="21"/>
          <w:szCs w:val="21"/>
          <w:shd w:val="clear" w:fill="FFFFFF"/>
        </w:rPr>
        <w:t>当前特性量值否与批准时一致</w:t>
      </w:r>
      <w:r>
        <w:rPr>
          <w:rFonts w:hint="eastAsia" w:ascii="微软雅黑" w:hAnsi="微软雅黑" w:eastAsia="微软雅黑" w:cs="微软雅黑"/>
          <w:b w:val="0"/>
          <w:i w:val="0"/>
          <w:caps w:val="0"/>
          <w:color w:val="auto"/>
          <w:spacing w:val="0"/>
          <w:sz w:val="21"/>
          <w:szCs w:val="21"/>
          <w:shd w:val="clear" w:fill="FFFFFF"/>
          <w:lang w:eastAsia="zh-CN"/>
        </w:rPr>
        <w:t>和</w:t>
      </w:r>
      <w:r>
        <w:rPr>
          <w:rFonts w:ascii="微软雅黑" w:hAnsi="微软雅黑" w:eastAsia="微软雅黑" w:cs="微软雅黑"/>
          <w:b w:val="0"/>
          <w:i w:val="0"/>
          <w:caps w:val="0"/>
          <w:color w:val="auto"/>
          <w:spacing w:val="0"/>
          <w:sz w:val="21"/>
          <w:szCs w:val="21"/>
          <w:shd w:val="clear" w:fill="FFFFFF"/>
        </w:rPr>
        <w:t>是否与联合单位各自独立生产</w:t>
      </w:r>
      <w:r>
        <w:rPr>
          <w:rFonts w:hint="eastAsia" w:ascii="微软雅黑" w:hAnsi="微软雅黑" w:eastAsia="微软雅黑" w:cs="微软雅黑"/>
          <w:b w:val="0"/>
          <w:i w:val="0"/>
          <w:caps w:val="0"/>
          <w:color w:val="auto"/>
          <w:spacing w:val="0"/>
          <w:sz w:val="21"/>
          <w:szCs w:val="21"/>
          <w:shd w:val="clear" w:fill="FFFFFF"/>
          <w:lang w:eastAsia="zh-CN"/>
        </w:rPr>
        <w:t>；如图</w:t>
      </w:r>
    </w:p>
    <w:p>
      <w:pPr>
        <w:numPr>
          <w:numId w:val="0"/>
        </w:numPr>
        <w:ind w:left="400" w:leftChars="0"/>
      </w:pPr>
      <w:r>
        <w:drawing>
          <wp:inline distT="0" distB="0" distL="114300" distR="114300">
            <wp:extent cx="4847590" cy="379984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847590" cy="3799840"/>
                    </a:xfrm>
                    <a:prstGeom prst="rect">
                      <a:avLst/>
                    </a:prstGeom>
                    <a:noFill/>
                    <a:ln w="9525">
                      <a:noFill/>
                    </a:ln>
                  </pic:spPr>
                </pic:pic>
              </a:graphicData>
            </a:graphic>
          </wp:inline>
        </w:drawing>
      </w:r>
    </w:p>
    <w:p>
      <w:pPr>
        <w:numPr>
          <w:numId w:val="0"/>
        </w:numPr>
        <w:ind w:left="400" w:leftChars="0"/>
        <w:rPr>
          <w:rFonts w:hint="eastAsia"/>
          <w:lang w:eastAsia="zh-CN"/>
        </w:rPr>
      </w:pPr>
      <w:r>
        <w:rPr>
          <w:rFonts w:hint="eastAsia"/>
          <w:lang w:eastAsia="zh-CN"/>
        </w:rPr>
        <w:t>选择是则标物出现在持续供应状态中，如图</w:t>
      </w:r>
    </w:p>
    <w:p>
      <w:pPr>
        <w:numPr>
          <w:numId w:val="0"/>
        </w:numPr>
        <w:ind w:left="400" w:leftChars="0"/>
        <w:rPr>
          <w:rFonts w:hint="eastAsia"/>
          <w:lang w:val="en-US" w:eastAsia="zh-CN"/>
        </w:rPr>
      </w:pPr>
      <w:r>
        <w:rPr>
          <w:rFonts w:hint="eastAsia"/>
          <w:lang w:val="en-US" w:eastAsia="zh-CN"/>
        </w:rPr>
        <w:drawing>
          <wp:inline distT="0" distB="0" distL="114300" distR="114300">
            <wp:extent cx="5264150" cy="2098675"/>
            <wp:effectExtent l="0" t="0" r="12700" b="15875"/>
            <wp:docPr id="7" name="图片 7" descr="1532009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32009307(1)"/>
                    <pic:cNvPicPr>
                      <a:picLocks noChangeAspect="1"/>
                    </pic:cNvPicPr>
                  </pic:nvPicPr>
                  <pic:blipFill>
                    <a:blip r:embed="rId9"/>
                    <a:stretch>
                      <a:fillRect/>
                    </a:stretch>
                  </pic:blipFill>
                  <pic:spPr>
                    <a:xfrm>
                      <a:off x="0" y="0"/>
                      <a:ext cx="5264150" cy="2098675"/>
                    </a:xfrm>
                    <a:prstGeom prst="rect">
                      <a:avLst/>
                    </a:prstGeom>
                  </pic:spPr>
                </pic:pic>
              </a:graphicData>
            </a:graphic>
          </wp:inline>
        </w:drawing>
      </w:r>
    </w:p>
    <w:p>
      <w:pPr>
        <w:numPr>
          <w:numId w:val="0"/>
        </w:numPr>
        <w:ind w:left="400" w:leftChars="0"/>
        <w:rPr>
          <w:rFonts w:hint="eastAsia"/>
          <w:lang w:val="en-US" w:eastAsia="zh-CN"/>
        </w:rPr>
      </w:pPr>
    </w:p>
    <w:p>
      <w:pPr>
        <w:numPr>
          <w:ilvl w:val="1"/>
          <w:numId w:val="2"/>
        </w:numPr>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待确定状态下的标物和持续供应状态下的标物都可以选择批量申请注销或申请注销功能。</w:t>
      </w:r>
    </w:p>
    <w:p>
      <w:pPr>
        <w:numPr>
          <w:ilvl w:val="1"/>
          <w:numId w:val="2"/>
        </w:numPr>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申请注销或批量申请注销功能，则如下图</w:t>
      </w:r>
    </w:p>
    <w:p>
      <w:pPr>
        <w:numPr>
          <w:numId w:val="0"/>
        </w:numPr>
        <w:ind w:left="400" w:leftChars="0"/>
        <w:rPr>
          <w:rFonts w:hint="eastAsia" w:ascii="微软雅黑" w:hAnsi="微软雅黑" w:eastAsia="微软雅黑" w:cs="微软雅黑"/>
          <w:color w:val="auto"/>
          <w:sz w:val="21"/>
          <w:szCs w:val="21"/>
          <w:lang w:val="en-US" w:eastAsia="zh-CN"/>
        </w:rPr>
      </w:pPr>
      <w:r>
        <w:drawing>
          <wp:inline distT="0" distB="0" distL="114300" distR="114300">
            <wp:extent cx="4876165" cy="4037965"/>
            <wp:effectExtent l="0" t="0" r="63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tretch>
                      <a:fillRect/>
                    </a:stretch>
                  </pic:blipFill>
                  <pic:spPr>
                    <a:xfrm>
                      <a:off x="0" y="0"/>
                      <a:ext cx="4876165" cy="4037965"/>
                    </a:xfrm>
                    <a:prstGeom prst="rect">
                      <a:avLst/>
                    </a:prstGeom>
                    <a:noFill/>
                    <a:ln w="9525">
                      <a:noFill/>
                    </a:ln>
                  </pic:spPr>
                </pic:pic>
              </a:graphicData>
            </a:graphic>
          </wp:inline>
        </w:drawing>
      </w:r>
    </w:p>
    <w:p>
      <w:pPr>
        <w:numPr>
          <w:ilvl w:val="1"/>
          <w:numId w:val="2"/>
        </w:numPr>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选择任何一个标物的持续供应功能，则可以查看标物的信息，并且对标物的信息进行纠错，如图</w:t>
      </w:r>
    </w:p>
    <w:p>
      <w:pPr>
        <w:numPr>
          <w:numId w:val="0"/>
        </w:numPr>
        <w:ind w:left="400" w:leftChars="0"/>
      </w:pPr>
      <w:r>
        <w:drawing>
          <wp:inline distT="0" distB="0" distL="114300" distR="114300">
            <wp:extent cx="4819015" cy="3723640"/>
            <wp:effectExtent l="0" t="0" r="635"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4819015" cy="3723640"/>
                    </a:xfrm>
                    <a:prstGeom prst="rect">
                      <a:avLst/>
                    </a:prstGeom>
                    <a:noFill/>
                    <a:ln w="9525">
                      <a:noFill/>
                    </a:ln>
                  </pic:spPr>
                </pic:pic>
              </a:graphicData>
            </a:graphic>
          </wp:inline>
        </w:drawing>
      </w:r>
    </w:p>
    <w:p>
      <w:pPr>
        <w:numPr>
          <w:numId w:val="0"/>
        </w:numPr>
        <w:ind w:left="400" w:leftChars="0"/>
      </w:pPr>
    </w:p>
    <w:p>
      <w:pPr>
        <w:numPr>
          <w:numId w:val="0"/>
        </w:numPr>
        <w:ind w:left="400"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点击查看标物信息后，如图弹出新页面，默认状态是不可以进行编辑，点击显示纠错则可以对已显示的内容进行数据编辑。</w:t>
      </w:r>
    </w:p>
    <w:p>
      <w:pPr>
        <w:numPr>
          <w:numId w:val="0"/>
        </w:numPr>
        <w:ind w:left="400" w:leftChars="0"/>
        <w:rPr>
          <w:rFonts w:hint="eastAsia"/>
          <w:lang w:val="en-US" w:eastAsia="zh-CN"/>
        </w:rPr>
      </w:pPr>
    </w:p>
    <w:p>
      <w:pPr>
        <w:numPr>
          <w:numId w:val="0"/>
        </w:numPr>
        <w:ind w:left="400" w:leftChars="0"/>
      </w:pPr>
      <w:r>
        <w:drawing>
          <wp:inline distT="0" distB="0" distL="114300" distR="114300">
            <wp:extent cx="5266690" cy="2787015"/>
            <wp:effectExtent l="0" t="0" r="10160" b="133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2"/>
                    <a:stretch>
                      <a:fillRect/>
                    </a:stretch>
                  </pic:blipFill>
                  <pic:spPr>
                    <a:xfrm>
                      <a:off x="0" y="0"/>
                      <a:ext cx="5266690" cy="2787015"/>
                    </a:xfrm>
                    <a:prstGeom prst="rect">
                      <a:avLst/>
                    </a:prstGeom>
                    <a:noFill/>
                    <a:ln w="9525">
                      <a:noFill/>
                    </a:ln>
                  </pic:spPr>
                </pic:pic>
              </a:graphicData>
            </a:graphic>
          </wp:inline>
        </w:drawing>
      </w:r>
    </w:p>
    <w:p>
      <w:pPr>
        <w:numPr>
          <w:numId w:val="0"/>
        </w:numPr>
        <w:ind w:left="400" w:leftChars="0"/>
      </w:pPr>
    </w:p>
    <w:p>
      <w:pPr>
        <w:numPr>
          <w:numId w:val="0"/>
        </w:numPr>
        <w:ind w:left="400" w:leftChars="0"/>
        <w:rPr>
          <w:rFonts w:hint="eastAsia"/>
          <w:lang w:eastAsia="zh-CN"/>
        </w:rPr>
      </w:pPr>
      <w:r>
        <w:rPr>
          <w:rFonts w:hint="eastAsia" w:ascii="微软雅黑" w:hAnsi="微软雅黑" w:eastAsia="微软雅黑" w:cs="微软雅黑"/>
          <w:lang w:eastAsia="zh-CN"/>
        </w:rPr>
        <w:t>点击显示纠错后，如图</w:t>
      </w:r>
    </w:p>
    <w:p>
      <w:pPr>
        <w:numPr>
          <w:numId w:val="0"/>
        </w:numPr>
        <w:ind w:left="400" w:leftChars="0"/>
        <w:rPr>
          <w:rFonts w:hint="eastAsia"/>
          <w:lang w:eastAsia="zh-CN"/>
        </w:rPr>
      </w:pPr>
    </w:p>
    <w:p>
      <w:pPr>
        <w:numPr>
          <w:numId w:val="0"/>
        </w:numPr>
        <w:ind w:left="400" w:leftChars="0"/>
        <w:rPr>
          <w:rFonts w:hint="eastAsia"/>
          <w:lang w:val="en-US" w:eastAsia="zh-CN"/>
        </w:rPr>
      </w:pPr>
      <w:r>
        <w:rPr>
          <w:rFonts w:hint="eastAsia"/>
          <w:lang w:val="en-US" w:eastAsia="zh-CN"/>
        </w:rPr>
        <w:drawing>
          <wp:inline distT="0" distB="0" distL="114300" distR="114300">
            <wp:extent cx="5266690" cy="3122295"/>
            <wp:effectExtent l="0" t="0" r="10160" b="1905"/>
            <wp:docPr id="12" name="图片 12" descr="1532009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32009809(1)"/>
                    <pic:cNvPicPr>
                      <a:picLocks noChangeAspect="1"/>
                    </pic:cNvPicPr>
                  </pic:nvPicPr>
                  <pic:blipFill>
                    <a:blip r:embed="rId13"/>
                    <a:stretch>
                      <a:fillRect/>
                    </a:stretch>
                  </pic:blipFill>
                  <pic:spPr>
                    <a:xfrm>
                      <a:off x="0" y="0"/>
                      <a:ext cx="5266690" cy="3122295"/>
                    </a:xfrm>
                    <a:prstGeom prst="rect">
                      <a:avLst/>
                    </a:prstGeom>
                  </pic:spPr>
                </pic:pic>
              </a:graphicData>
            </a:graphic>
          </wp:inline>
        </w:drawing>
      </w:r>
    </w:p>
    <w:p>
      <w:pPr>
        <w:numPr>
          <w:numId w:val="0"/>
        </w:numPr>
        <w:ind w:left="400" w:leftChars="0"/>
        <w:rPr>
          <w:rFonts w:hint="eastAsia"/>
          <w:lang w:val="en-US" w:eastAsia="zh-CN"/>
        </w:rPr>
      </w:pPr>
    </w:p>
    <w:p>
      <w:pPr>
        <w:numPr>
          <w:numId w:val="0"/>
        </w:numPr>
        <w:ind w:left="400"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数据修改后点击确定即可，如图</w:t>
      </w:r>
    </w:p>
    <w:p>
      <w:pPr>
        <w:numPr>
          <w:numId w:val="0"/>
        </w:numPr>
        <w:ind w:left="400" w:leftChars="0"/>
        <w:rPr>
          <w:rFonts w:hint="eastAsia"/>
          <w:lang w:val="en-US" w:eastAsia="zh-CN"/>
        </w:rPr>
      </w:pPr>
    </w:p>
    <w:p>
      <w:pPr>
        <w:numPr>
          <w:numId w:val="0"/>
        </w:numPr>
        <w:ind w:left="400" w:leftChars="0"/>
        <w:rPr>
          <w:rFonts w:hint="eastAsia"/>
          <w:lang w:val="en-US" w:eastAsia="zh-CN"/>
        </w:rPr>
      </w:pPr>
      <w:r>
        <w:rPr>
          <w:rFonts w:hint="eastAsia"/>
          <w:lang w:val="en-US" w:eastAsia="zh-CN"/>
        </w:rPr>
        <w:drawing>
          <wp:inline distT="0" distB="0" distL="114300" distR="114300">
            <wp:extent cx="5267960" cy="4302125"/>
            <wp:effectExtent l="0" t="0" r="8890" b="3175"/>
            <wp:docPr id="13" name="图片 13" descr="1532009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32009863(1)"/>
                    <pic:cNvPicPr>
                      <a:picLocks noChangeAspect="1"/>
                    </pic:cNvPicPr>
                  </pic:nvPicPr>
                  <pic:blipFill>
                    <a:blip r:embed="rId14"/>
                    <a:stretch>
                      <a:fillRect/>
                    </a:stretch>
                  </pic:blipFill>
                  <pic:spPr>
                    <a:xfrm>
                      <a:off x="0" y="0"/>
                      <a:ext cx="5267960" cy="4302125"/>
                    </a:xfrm>
                    <a:prstGeom prst="rect">
                      <a:avLst/>
                    </a:prstGeom>
                  </pic:spPr>
                </pic:pic>
              </a:graphicData>
            </a:graphic>
          </wp:inline>
        </w:drawing>
      </w:r>
    </w:p>
    <w:p>
      <w:pPr>
        <w:numPr>
          <w:numId w:val="0"/>
        </w:numPr>
        <w:ind w:left="400" w:leftChars="0"/>
        <w:rPr>
          <w:rFonts w:hint="eastAsia"/>
          <w:lang w:val="en-US" w:eastAsia="zh-CN"/>
        </w:rPr>
      </w:pP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当所有标物状态发生确认改变，在底部会出现提交按钮，如图</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5268595" cy="814070"/>
            <wp:effectExtent l="0" t="0" r="8255" b="5080"/>
            <wp:docPr id="15" name="图片 15" descr="1532010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32010436(1)"/>
                    <pic:cNvPicPr>
                      <a:picLocks noChangeAspect="1"/>
                    </pic:cNvPicPr>
                  </pic:nvPicPr>
                  <pic:blipFill>
                    <a:blip r:embed="rId15"/>
                    <a:stretch>
                      <a:fillRect/>
                    </a:stretch>
                  </pic:blipFill>
                  <pic:spPr>
                    <a:xfrm>
                      <a:off x="0" y="0"/>
                      <a:ext cx="5268595" cy="814070"/>
                    </a:xfrm>
                    <a:prstGeom prst="rect">
                      <a:avLst/>
                    </a:prstGeom>
                  </pic:spPr>
                </pic:pic>
              </a:graphicData>
            </a:graphic>
          </wp:inline>
        </w:drawing>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点击提交后如图，进行页面信息核对</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5270500" cy="2851150"/>
            <wp:effectExtent l="0" t="0" r="6350" b="6350"/>
            <wp:docPr id="16" name="图片 16" descr="1532010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32010521(1)"/>
                    <pic:cNvPicPr>
                      <a:picLocks noChangeAspect="1"/>
                    </pic:cNvPicPr>
                  </pic:nvPicPr>
                  <pic:blipFill>
                    <a:blip r:embed="rId16"/>
                    <a:stretch>
                      <a:fillRect/>
                    </a:stretch>
                  </pic:blipFill>
                  <pic:spPr>
                    <a:xfrm>
                      <a:off x="0" y="0"/>
                      <a:ext cx="5270500" cy="2851150"/>
                    </a:xfrm>
                    <a:prstGeom prst="rect">
                      <a:avLst/>
                    </a:prstGeom>
                  </pic:spPr>
                </pic:pic>
              </a:graphicData>
            </a:graphic>
          </wp:inline>
        </w:drawing>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5273040" cy="5290185"/>
            <wp:effectExtent l="0" t="0" r="3810" b="5715"/>
            <wp:docPr id="18" name="图片 18" descr="1532010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32010539(1)"/>
                    <pic:cNvPicPr>
                      <a:picLocks noChangeAspect="1"/>
                    </pic:cNvPicPr>
                  </pic:nvPicPr>
                  <pic:blipFill>
                    <a:blip r:embed="rId17"/>
                    <a:stretch>
                      <a:fillRect/>
                    </a:stretch>
                  </pic:blipFill>
                  <pic:spPr>
                    <a:xfrm>
                      <a:off x="0" y="0"/>
                      <a:ext cx="5273040" cy="5290185"/>
                    </a:xfrm>
                    <a:prstGeom prst="rect">
                      <a:avLst/>
                    </a:prstGeom>
                  </pic:spPr>
                </pic:pic>
              </a:graphicData>
            </a:graphic>
          </wp:inline>
        </w:drawing>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点击确定后进入到生产及管理现状与自查结论，如图，需要进行人工选择</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5269865" cy="2849245"/>
            <wp:effectExtent l="0" t="0" r="6985" b="8255"/>
            <wp:docPr id="19" name="图片 19" descr="1532010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32010614(1)"/>
                    <pic:cNvPicPr>
                      <a:picLocks noChangeAspect="1"/>
                    </pic:cNvPicPr>
                  </pic:nvPicPr>
                  <pic:blipFill>
                    <a:blip r:embed="rId18"/>
                    <a:stretch>
                      <a:fillRect/>
                    </a:stretch>
                  </pic:blipFill>
                  <pic:spPr>
                    <a:xfrm>
                      <a:off x="0" y="0"/>
                      <a:ext cx="5269865" cy="2849245"/>
                    </a:xfrm>
                    <a:prstGeom prst="rect">
                      <a:avLst/>
                    </a:prstGeom>
                  </pic:spPr>
                </pic:pic>
              </a:graphicData>
            </a:graphic>
          </wp:inline>
        </w:drawing>
      </w: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点击确定后，提交报告成功，如图确定按钮</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5273040" cy="3163570"/>
            <wp:effectExtent l="0" t="0" r="3810" b="17780"/>
            <wp:docPr id="21" name="图片 21" descr="1532010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32010678(1)"/>
                    <pic:cNvPicPr>
                      <a:picLocks noChangeAspect="1"/>
                    </pic:cNvPicPr>
                  </pic:nvPicPr>
                  <pic:blipFill>
                    <a:blip r:embed="rId19"/>
                    <a:stretch>
                      <a:fillRect/>
                    </a:stretch>
                  </pic:blipFill>
                  <pic:spPr>
                    <a:xfrm>
                      <a:off x="0" y="0"/>
                      <a:ext cx="5273040" cy="3163570"/>
                    </a:xfrm>
                    <a:prstGeom prst="rect">
                      <a:avLst/>
                    </a:prstGeom>
                  </pic:spPr>
                </pic:pic>
              </a:graphicData>
            </a:graphic>
          </wp:inline>
        </w:drawing>
      </w: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生成报告预览页面，如图</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drawing>
          <wp:inline distT="0" distB="0" distL="114300" distR="114300">
            <wp:extent cx="4670425" cy="8704580"/>
            <wp:effectExtent l="0" t="0" r="15875" b="1270"/>
            <wp:docPr id="22" name="图片 22" descr="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首页"/>
                    <pic:cNvPicPr>
                      <a:picLocks noChangeAspect="1"/>
                    </pic:cNvPicPr>
                  </pic:nvPicPr>
                  <pic:blipFill>
                    <a:blip r:embed="rId20"/>
                    <a:stretch>
                      <a:fillRect/>
                    </a:stretch>
                  </pic:blipFill>
                  <pic:spPr>
                    <a:xfrm>
                      <a:off x="0" y="0"/>
                      <a:ext cx="4670425" cy="8704580"/>
                    </a:xfrm>
                    <a:prstGeom prst="rect">
                      <a:avLst/>
                    </a:prstGeom>
                  </pic:spPr>
                </pic:pic>
              </a:graphicData>
            </a:graphic>
          </wp:inline>
        </w:drawing>
      </w:r>
    </w:p>
    <w:p>
      <w:pPr>
        <w:numPr>
          <w:ilvl w:val="1"/>
          <w:numId w:val="2"/>
        </w:numPr>
        <w:tabs>
          <w:tab w:val="left" w:pos="2826"/>
        </w:tabs>
        <w:ind w:left="0" w:leftChars="0" w:firstLine="40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生成报告后有4个功能按钮：保存（可修改），导出报告（不可修改），持续生产一览表，生产注销一览表。</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保存（可修改）即：此功能可以将之前填写的数据进行保存，但是之前填写的数据还可以进行更改；</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导出报告（不可修改）即：此功能将导出pdf格式的报告，之前填写的数据都不可以更改；</w:t>
      </w:r>
    </w:p>
    <w:p>
      <w:pPr>
        <w:numPr>
          <w:numId w:val="0"/>
        </w:numPr>
        <w:tabs>
          <w:tab w:val="left" w:pos="2826"/>
        </w:tabs>
        <w:ind w:left="400" w:left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持续生产一览表 即：此功能是将持续生产的标物以excel形式导出；</w:t>
      </w:r>
    </w:p>
    <w:p>
      <w:pPr>
        <w:numPr>
          <w:numId w:val="0"/>
        </w:numPr>
        <w:tabs>
          <w:tab w:val="left" w:pos="2826"/>
        </w:tabs>
        <w:ind w:left="40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生产注销一览表 即：此功能是将生成注销的标物以excel形式导出。</w:t>
      </w:r>
      <w:bookmarkStart w:id="0" w:name="_GoBack"/>
      <w:bookmarkEnd w:id="0"/>
    </w:p>
    <w:p>
      <w:pPr>
        <w:numPr>
          <w:ilvl w:val="0"/>
          <w:numId w:val="0"/>
        </w:numPr>
        <w:ind w:left="420" w:leftChars="0"/>
        <w:rPr>
          <w:rFonts w:hint="eastAsia" w:ascii="微软雅黑" w:hAnsi="微软雅黑" w:eastAsia="微软雅黑" w:cs="微软雅黑"/>
          <w:sz w:val="21"/>
          <w:szCs w:val="21"/>
        </w:rPr>
      </w:pPr>
    </w:p>
    <w:p>
      <w:pPr>
        <w:numPr>
          <w:ilvl w:val="0"/>
          <w:numId w:val="0"/>
        </w:numPr>
        <w:ind w:left="420" w:leftChars="0"/>
        <w:rPr>
          <w:rFonts w:hint="eastAsia" w:ascii="微软雅黑" w:hAnsi="微软雅黑" w:eastAsia="微软雅黑" w:cs="微软雅黑"/>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265A5"/>
    <w:multiLevelType w:val="singleLevel"/>
    <w:tmpl w:val="B00265A5"/>
    <w:lvl w:ilvl="0" w:tentative="0">
      <w:start w:val="1"/>
      <w:numFmt w:val="chineseCounting"/>
      <w:suff w:val="nothing"/>
      <w:lvlText w:val="%1、"/>
      <w:lvlJc w:val="left"/>
      <w:pPr>
        <w:ind w:left="0" w:firstLine="420"/>
      </w:pPr>
      <w:rPr>
        <w:rFonts w:hint="eastAsia"/>
      </w:rPr>
    </w:lvl>
  </w:abstractNum>
  <w:abstractNum w:abstractNumId="1">
    <w:nsid w:val="2AA23060"/>
    <w:multiLevelType w:val="multilevel"/>
    <w:tmpl w:val="2AA2306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56FDA"/>
    <w:rsid w:val="062462F6"/>
    <w:rsid w:val="08767DF8"/>
    <w:rsid w:val="0FF52A8A"/>
    <w:rsid w:val="182C2E4C"/>
    <w:rsid w:val="2151116D"/>
    <w:rsid w:val="221A38B0"/>
    <w:rsid w:val="284C7359"/>
    <w:rsid w:val="2AF77616"/>
    <w:rsid w:val="2D223FCD"/>
    <w:rsid w:val="35291523"/>
    <w:rsid w:val="35D06C44"/>
    <w:rsid w:val="47465216"/>
    <w:rsid w:val="4EB96D02"/>
    <w:rsid w:val="4F2F55C9"/>
    <w:rsid w:val="617D5BF3"/>
    <w:rsid w:val="6189301C"/>
    <w:rsid w:val="667B1011"/>
    <w:rsid w:val="6E5A6432"/>
    <w:rsid w:val="74140876"/>
    <w:rsid w:val="74FD1B7E"/>
    <w:rsid w:val="752F1DE2"/>
    <w:rsid w:val="779E731D"/>
    <w:rsid w:val="788D44D8"/>
    <w:rsid w:val="7CA00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2018-07-19T14:39:05Z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