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附件4 参比实验室技术报告(称量法定值)</w:t>
      </w:r>
    </w:p>
    <w:p>
      <w:pPr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参比实验室需要提交至少2瓶比对用氮中硫化氢气体标准物质，以及每瓶标准物质的认定证书(盖章)。除上述提交内容之外，需要提交一份定值技术报告。该技术报告主要内容包括：</w:t>
      </w:r>
    </w:p>
    <w:p>
      <w:pPr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称量设备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生产商：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量程：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分辨率：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原料气纯度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(硫化氢)</w:t>
            </w:r>
          </w:p>
        </w:tc>
        <w:tc>
          <w:tcPr>
            <w:tcW w:w="65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2"/>
              <w:tblW w:w="6340" w:type="dxa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5"/>
              <w:gridCol w:w="1701"/>
              <w:gridCol w:w="1749"/>
              <w:gridCol w:w="1585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生产商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瓶号</w:t>
                  </w:r>
                </w:p>
              </w:tc>
              <w:tc>
                <w:tcPr>
                  <w:tcW w:w="158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  <w:t>杂质组分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  <w:t>含量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μmol/mol</w:t>
                  </w: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49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  <w:t>标准不确定度(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μmol/mol</w:t>
                  </w: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8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  <w:t>测量方法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原料气纯度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(高纯氮)</w:t>
            </w:r>
          </w:p>
        </w:tc>
        <w:tc>
          <w:tcPr>
            <w:tcW w:w="657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2"/>
              <w:tblW w:w="6340" w:type="dxa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5"/>
              <w:gridCol w:w="1701"/>
              <w:gridCol w:w="1749"/>
              <w:gridCol w:w="1585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生产商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瓶号</w:t>
                  </w:r>
                </w:p>
              </w:tc>
              <w:tc>
                <w:tcPr>
                  <w:tcW w:w="158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  <w:t>杂质组分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  <w:t>含量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μmol/mol</w:t>
                  </w: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49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  <w:t>标准不确定度(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μmol/mol</w:t>
                  </w: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8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  <w:t>测量方法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核验方法采用的分析仪器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气相色谱仪(检测器：</w:t>
            </w:r>
            <w:r>
              <w:rPr>
                <w:rFonts w:ascii="宋体" w:hAnsi="宋体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FPD  </w:t>
            </w:r>
            <w:r>
              <w:rPr>
                <w:rFonts w:ascii="宋体" w:hAnsi="宋体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SCD  </w:t>
            </w:r>
            <w:r>
              <w:rPr>
                <w:rFonts w:ascii="宋体" w:hAnsi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cs="Times New Roman"/>
                <w:sz w:val="24"/>
                <w:szCs w:val="24"/>
              </w:rPr>
              <w:t>其他：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)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cs="Times New Roman"/>
                <w:sz w:val="24"/>
                <w:szCs w:val="24"/>
              </w:rPr>
              <w:t>光谱仪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(描述厂家和型号                            )</w:t>
            </w:r>
          </w:p>
          <w:p>
            <w:pPr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□其它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宋体" w:cs="Times New Roman"/>
                <w:sz w:val="24"/>
                <w:szCs w:val="24"/>
              </w:rPr>
              <w:t>描述名称：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eastAsia" w:cs="Times New Roman"/>
        </w:rPr>
      </w:pPr>
    </w:p>
    <w:p>
      <w:pPr>
        <w:rPr>
          <w:rFonts w:hint="eastAsia"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具体描述稀释流程：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针对制备的每一瓶标准物质，按照下述表格填写所有稀释环节中的称量数据和计算结果。具体稀释步骤根据各个实验室所采用的实际情况填写。</w:t>
      </w: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5"/>
        <w:gridCol w:w="41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一次气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H2S质量：            g</w:t>
            </w:r>
          </w:p>
        </w:tc>
        <w:tc>
          <w:tcPr>
            <w:tcW w:w="416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计算浓度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N2质量：             g</w:t>
            </w:r>
          </w:p>
        </w:tc>
        <w:tc>
          <w:tcPr>
            <w:tcW w:w="416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二次气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一次气质量：         g</w:t>
            </w:r>
          </w:p>
        </w:tc>
        <w:tc>
          <w:tcPr>
            <w:tcW w:w="416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计算浓度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N2质量：            g</w:t>
            </w:r>
          </w:p>
        </w:tc>
        <w:tc>
          <w:tcPr>
            <w:tcW w:w="416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三次气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二次气质量：         g</w:t>
            </w:r>
          </w:p>
        </w:tc>
        <w:tc>
          <w:tcPr>
            <w:tcW w:w="416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计算浓度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N2质量：            g</w:t>
            </w:r>
          </w:p>
        </w:tc>
        <w:tc>
          <w:tcPr>
            <w:tcW w:w="416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四次气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三次气质量：         g</w:t>
            </w:r>
          </w:p>
        </w:tc>
        <w:tc>
          <w:tcPr>
            <w:tcW w:w="416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计算浓度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N2质量：            g</w:t>
            </w:r>
          </w:p>
        </w:tc>
        <w:tc>
          <w:tcPr>
            <w:tcW w:w="416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2D6"/>
    <w:rsid w:val="0000732E"/>
    <w:rsid w:val="00032516"/>
    <w:rsid w:val="00087298"/>
    <w:rsid w:val="000C42C1"/>
    <w:rsid w:val="000D584D"/>
    <w:rsid w:val="001424D8"/>
    <w:rsid w:val="00171D29"/>
    <w:rsid w:val="001B34E3"/>
    <w:rsid w:val="00225735"/>
    <w:rsid w:val="00250F8F"/>
    <w:rsid w:val="002B1399"/>
    <w:rsid w:val="003259F4"/>
    <w:rsid w:val="00343758"/>
    <w:rsid w:val="00374E57"/>
    <w:rsid w:val="003B5AD9"/>
    <w:rsid w:val="003E5E9E"/>
    <w:rsid w:val="004122E6"/>
    <w:rsid w:val="00445BC1"/>
    <w:rsid w:val="0046122B"/>
    <w:rsid w:val="00467888"/>
    <w:rsid w:val="00481180"/>
    <w:rsid w:val="00481B79"/>
    <w:rsid w:val="004B0427"/>
    <w:rsid w:val="004E72D6"/>
    <w:rsid w:val="00534DDD"/>
    <w:rsid w:val="00553A9F"/>
    <w:rsid w:val="00593227"/>
    <w:rsid w:val="005A2ACC"/>
    <w:rsid w:val="005F3E78"/>
    <w:rsid w:val="00622953"/>
    <w:rsid w:val="00652B00"/>
    <w:rsid w:val="00661D7C"/>
    <w:rsid w:val="006A7FB4"/>
    <w:rsid w:val="006C00C5"/>
    <w:rsid w:val="006D0D5B"/>
    <w:rsid w:val="006E73CD"/>
    <w:rsid w:val="006F2AF6"/>
    <w:rsid w:val="00722D65"/>
    <w:rsid w:val="00784CBD"/>
    <w:rsid w:val="007A0E9E"/>
    <w:rsid w:val="007A650E"/>
    <w:rsid w:val="007D5986"/>
    <w:rsid w:val="007E125D"/>
    <w:rsid w:val="00831186"/>
    <w:rsid w:val="00837F8D"/>
    <w:rsid w:val="00856320"/>
    <w:rsid w:val="00887204"/>
    <w:rsid w:val="008A107A"/>
    <w:rsid w:val="00953BF0"/>
    <w:rsid w:val="009A18CD"/>
    <w:rsid w:val="009F50A8"/>
    <w:rsid w:val="00A20D8B"/>
    <w:rsid w:val="00A83033"/>
    <w:rsid w:val="00A90882"/>
    <w:rsid w:val="00AB7FAC"/>
    <w:rsid w:val="00AC77FF"/>
    <w:rsid w:val="00AE011C"/>
    <w:rsid w:val="00AF1F34"/>
    <w:rsid w:val="00B04120"/>
    <w:rsid w:val="00B515D2"/>
    <w:rsid w:val="00B71DC3"/>
    <w:rsid w:val="00B778D3"/>
    <w:rsid w:val="00B810DB"/>
    <w:rsid w:val="00BA6C17"/>
    <w:rsid w:val="00C362EC"/>
    <w:rsid w:val="00C57691"/>
    <w:rsid w:val="00D068B7"/>
    <w:rsid w:val="00D93A5C"/>
    <w:rsid w:val="00DB541C"/>
    <w:rsid w:val="00DD08DE"/>
    <w:rsid w:val="00E12452"/>
    <w:rsid w:val="00E24BA0"/>
    <w:rsid w:val="00E43F32"/>
    <w:rsid w:val="00EA02C5"/>
    <w:rsid w:val="00EA3D56"/>
    <w:rsid w:val="00EC3C7F"/>
    <w:rsid w:val="00EE4C85"/>
    <w:rsid w:val="127E271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7"/>
    <w:unhideWhenUsed/>
    <w:uiPriority w:val="99"/>
    <w:rPr>
      <w:b/>
      <w:bCs/>
    </w:rPr>
  </w:style>
  <w:style w:type="paragraph" w:styleId="4">
    <w:name w:val="annotation text"/>
    <w:basedOn w:val="1"/>
    <w:link w:val="16"/>
    <w:unhideWhenUsed/>
    <w:uiPriority w:val="99"/>
    <w:pPr>
      <w:jc w:val="left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semiHidden/>
    <w:uiPriority w:val="0"/>
    <w:rPr>
      <w:color w:val="0000FF"/>
      <w:u w:val="single"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table" w:styleId="12">
    <w:name w:val="Table Grid"/>
    <w:basedOn w:val="11"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8"/>
    <w:link w:val="2"/>
    <w:uiPriority w:val="9"/>
    <w:rPr>
      <w:rFonts w:cs="Calibri"/>
      <w:b/>
      <w:bCs/>
      <w:kern w:val="44"/>
      <w:sz w:val="44"/>
      <w:szCs w:val="44"/>
    </w:rPr>
  </w:style>
  <w:style w:type="character" w:customStyle="1" w:styleId="14">
    <w:name w:val="页眉 Char"/>
    <w:basedOn w:val="8"/>
    <w:link w:val="7"/>
    <w:semiHidden/>
    <w:uiPriority w:val="99"/>
    <w:rPr>
      <w:rFonts w:cs="Calibri"/>
      <w:sz w:val="18"/>
      <w:szCs w:val="18"/>
    </w:rPr>
  </w:style>
  <w:style w:type="character" w:customStyle="1" w:styleId="15">
    <w:name w:val="页脚 Char"/>
    <w:basedOn w:val="8"/>
    <w:link w:val="6"/>
    <w:semiHidden/>
    <w:uiPriority w:val="99"/>
    <w:rPr>
      <w:rFonts w:cs="Calibri"/>
      <w:sz w:val="18"/>
      <w:szCs w:val="18"/>
    </w:rPr>
  </w:style>
  <w:style w:type="character" w:customStyle="1" w:styleId="16">
    <w:name w:val="批注文字 Char"/>
    <w:basedOn w:val="8"/>
    <w:link w:val="4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17">
    <w:name w:val="批注主题 Char"/>
    <w:basedOn w:val="16"/>
    <w:link w:val="3"/>
    <w:semiHidden/>
    <w:uiPriority w:val="99"/>
    <w:rPr>
      <w:b/>
      <w:bCs/>
    </w:rPr>
  </w:style>
  <w:style w:type="character" w:customStyle="1" w:styleId="18">
    <w:name w:val="批注框文本 Char"/>
    <w:basedOn w:val="8"/>
    <w:link w:val="5"/>
    <w:semiHidden/>
    <w:uiPriority w:val="99"/>
    <w:rPr>
      <w:rFonts w:cs="Calibri"/>
      <w:kern w:val="2"/>
      <w:sz w:val="18"/>
      <w:szCs w:val="18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2</Pages>
  <Words>109</Words>
  <Characters>626</Characters>
  <Lines>5</Lines>
  <Paragraphs>1</Paragraphs>
  <TotalTime>0</TotalTime>
  <ScaleCrop>false</ScaleCrop>
  <LinksUpToDate>false</LinksUpToDate>
  <CharactersWithSpaces>734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2016-10-17T07:25:00Z</dcterms:created>
  <dc:creator>NTKO</dc:creator>
  <cp:lastModifiedBy>hai</cp:lastModifiedBy>
  <dcterms:modified xsi:type="dcterms:W3CDTF">2017-03-16T09:20:43Z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